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274" w:rsidRPr="000C0315" w:rsidRDefault="008B2274" w:rsidP="008B2274">
      <w:pPr>
        <w:spacing w:line="360" w:lineRule="auto"/>
        <w:jc w:val="both"/>
        <w:rPr>
          <w:rFonts w:ascii="Arial" w:hAnsi="Arial" w:cs="Arial"/>
          <w:sz w:val="22"/>
          <w:szCs w:val="22"/>
        </w:rPr>
      </w:pPr>
      <w:r w:rsidRPr="000C0315">
        <w:rPr>
          <w:rFonts w:ascii="Arial" w:hAnsi="Arial" w:cs="Arial"/>
          <w:sz w:val="22"/>
          <w:szCs w:val="22"/>
        </w:rPr>
        <w:t>El Lic. Jorge Zermeño Infante,  Presidente del R.  Ayuntamiento del Municipio de Torreón, Estado de Coahuila de Zaragoza a los habitantes del mismo, les hace saber:</w:t>
      </w:r>
    </w:p>
    <w:p w:rsidR="008B2274" w:rsidRPr="000C0315" w:rsidRDefault="008B2274" w:rsidP="008B2274">
      <w:pPr>
        <w:spacing w:line="360" w:lineRule="auto"/>
        <w:jc w:val="center"/>
        <w:rPr>
          <w:rFonts w:ascii="Arial" w:hAnsi="Arial" w:cs="Arial"/>
          <w:sz w:val="22"/>
          <w:szCs w:val="22"/>
        </w:rPr>
      </w:pPr>
    </w:p>
    <w:p w:rsidR="008B2274" w:rsidRPr="000C0315" w:rsidRDefault="008B2274" w:rsidP="008B2274">
      <w:pPr>
        <w:spacing w:line="360" w:lineRule="auto"/>
        <w:jc w:val="both"/>
        <w:rPr>
          <w:rFonts w:ascii="Arial" w:hAnsi="Arial" w:cs="Arial"/>
          <w:sz w:val="22"/>
          <w:szCs w:val="22"/>
        </w:rPr>
      </w:pPr>
      <w:r w:rsidRPr="000C0315">
        <w:rPr>
          <w:rFonts w:ascii="Arial" w:hAnsi="Arial" w:cs="Arial"/>
          <w:sz w:val="22"/>
          <w:szCs w:val="22"/>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en la Octava Sesión Ordinaria de Cabildo celebrada el día 12 de abril de 2019, aprobó la:</w:t>
      </w:r>
    </w:p>
    <w:p w:rsidR="008B2274" w:rsidRDefault="008B2274" w:rsidP="008B2274">
      <w:pPr>
        <w:spacing w:line="360" w:lineRule="auto"/>
        <w:jc w:val="center"/>
        <w:rPr>
          <w:rFonts w:ascii="Arial" w:hAnsi="Arial" w:cs="Arial"/>
          <w:b/>
          <w:sz w:val="22"/>
          <w:szCs w:val="22"/>
        </w:rPr>
      </w:pPr>
    </w:p>
    <w:p w:rsidR="008B2274" w:rsidRPr="003D59B1" w:rsidRDefault="008B2274" w:rsidP="008B2274">
      <w:pPr>
        <w:spacing w:line="360" w:lineRule="auto"/>
        <w:jc w:val="center"/>
        <w:rPr>
          <w:rFonts w:ascii="Arial" w:hAnsi="Arial" w:cs="Arial"/>
          <w:b/>
          <w:sz w:val="22"/>
          <w:szCs w:val="22"/>
        </w:rPr>
      </w:pPr>
      <w:r w:rsidRPr="003D59B1">
        <w:rPr>
          <w:rFonts w:ascii="Arial" w:hAnsi="Arial" w:cs="Arial"/>
          <w:b/>
          <w:sz w:val="22"/>
          <w:szCs w:val="22"/>
        </w:rPr>
        <w:t>REFORMA DEL REGLAMENTO INTERIOR DE LA TESORERÍA MUNICIPAL DEL AYUNTAMIENTO DE TORREÓN COAHUILA DE ZARAGOZA, SE REFORMA EL ARTÍCULO 3, SE CREA EL ARTÍCULO 11 BIS Y SE DEROGAN LOS ARTÍCULOS 12 Y 16, QUEDANDO DE LA SIGUIENTE FORMA:</w:t>
      </w:r>
    </w:p>
    <w:p w:rsidR="008B2274" w:rsidRPr="000C0315" w:rsidRDefault="008B2274" w:rsidP="008B2274">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center"/>
        <w:rPr>
          <w:rStyle w:val="Ninguno"/>
          <w:rFonts w:ascii="Arial" w:hAnsi="Arial"/>
          <w:b/>
          <w:bCs/>
          <w:spacing w:val="2"/>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tblGrid>
      <w:tr w:rsidR="008B2274" w:rsidRPr="000C0315" w:rsidTr="00F17E68">
        <w:tc>
          <w:tcPr>
            <w:tcW w:w="8789" w:type="dxa"/>
          </w:tcPr>
          <w:p w:rsidR="008B2274" w:rsidRPr="000C0315" w:rsidRDefault="008B2274" w:rsidP="00F17E68">
            <w:pPr>
              <w:pStyle w:val="Sinespaciado"/>
              <w:jc w:val="both"/>
              <w:rPr>
                <w:rStyle w:val="Ninguno"/>
                <w:rFonts w:ascii="Arial" w:eastAsia="Arial" w:hAnsi="Arial" w:cs="Arial"/>
                <w:spacing w:val="2"/>
                <w:sz w:val="22"/>
                <w:szCs w:val="22"/>
              </w:rPr>
            </w:pPr>
            <w:r w:rsidRPr="000C0315">
              <w:rPr>
                <w:rStyle w:val="Ninguno"/>
                <w:rFonts w:ascii="Arial" w:eastAsia="Arial" w:hAnsi="Arial" w:cs="Arial"/>
                <w:b/>
                <w:spacing w:val="2"/>
                <w:sz w:val="22"/>
                <w:szCs w:val="22"/>
              </w:rPr>
              <w:t>Artículo 3.</w:t>
            </w:r>
            <w:r w:rsidRPr="000C0315">
              <w:rPr>
                <w:rStyle w:val="Ninguno"/>
                <w:rFonts w:ascii="Arial" w:eastAsia="Arial" w:hAnsi="Arial" w:cs="Arial"/>
                <w:spacing w:val="2"/>
                <w:sz w:val="22"/>
                <w:szCs w:val="22"/>
              </w:rPr>
              <w:t xml:space="preserve"> La dependencia estará a cargo de un Tesorero, designado por el Cabildo a propuesta del Presidente Municipal, quien tendrá bajo su responsabilidad el despacho de los asuntos encomendados a la Tesorería y que para el efecto se auxiliará de las siguientes unidades administrativas:</w:t>
            </w:r>
          </w:p>
          <w:p w:rsidR="008B2274" w:rsidRPr="000C0315" w:rsidRDefault="008B2274" w:rsidP="00F17E68">
            <w:pPr>
              <w:pStyle w:val="Sinespaciado"/>
              <w:jc w:val="both"/>
              <w:rPr>
                <w:rStyle w:val="Ninguno"/>
                <w:rFonts w:ascii="Arial" w:hAnsi="Arial" w:cs="Arial"/>
                <w:sz w:val="22"/>
                <w:szCs w:val="22"/>
              </w:rPr>
            </w:pPr>
            <w:r w:rsidRPr="000C0315">
              <w:rPr>
                <w:rStyle w:val="Ninguno"/>
                <w:rFonts w:ascii="Arial" w:eastAsia="Arial" w:hAnsi="Arial" w:cs="Arial"/>
                <w:spacing w:val="2"/>
                <w:sz w:val="22"/>
                <w:szCs w:val="22"/>
              </w:rPr>
              <w:t xml:space="preserve">I. </w:t>
            </w:r>
            <w:r w:rsidRPr="000C0315">
              <w:rPr>
                <w:rStyle w:val="Ninguno"/>
                <w:rFonts w:ascii="Arial" w:hAnsi="Arial"/>
                <w:sz w:val="22"/>
                <w:szCs w:val="22"/>
                <w:u w:val="single"/>
                <w:lang w:val="es-ES_tradnl"/>
              </w:rPr>
              <w:t>Se Deroga</w:t>
            </w:r>
            <w:r w:rsidRPr="000C0315">
              <w:rPr>
                <w:rStyle w:val="Ninguno"/>
                <w:rFonts w:ascii="Arial" w:eastAsia="Arial" w:hAnsi="Arial" w:cs="Arial"/>
                <w:spacing w:val="2"/>
                <w:sz w:val="22"/>
                <w:szCs w:val="22"/>
              </w:rPr>
              <w:t>;</w:t>
            </w:r>
          </w:p>
          <w:p w:rsidR="008B2274" w:rsidRPr="000C0315" w:rsidRDefault="008B2274" w:rsidP="00F17E68">
            <w:pPr>
              <w:pStyle w:val="Sinespaciado"/>
              <w:jc w:val="both"/>
              <w:rPr>
                <w:rStyle w:val="Ninguno"/>
                <w:rFonts w:ascii="Arial" w:eastAsia="Arial" w:hAnsi="Arial" w:cs="Arial"/>
                <w:spacing w:val="2"/>
                <w:sz w:val="22"/>
                <w:szCs w:val="22"/>
              </w:rPr>
            </w:pPr>
            <w:r w:rsidRPr="000C0315">
              <w:rPr>
                <w:rStyle w:val="Ninguno"/>
                <w:rFonts w:ascii="Arial" w:eastAsia="Arial" w:hAnsi="Arial" w:cs="Arial"/>
                <w:spacing w:val="2"/>
                <w:sz w:val="22"/>
                <w:szCs w:val="22"/>
              </w:rPr>
              <w:t xml:space="preserve">II. </w:t>
            </w:r>
            <w:r w:rsidRPr="000C0315">
              <w:rPr>
                <w:rStyle w:val="Ninguno"/>
                <w:rFonts w:ascii="Arial" w:hAnsi="Arial"/>
                <w:sz w:val="22"/>
                <w:szCs w:val="22"/>
                <w:u w:val="single"/>
              </w:rPr>
              <w:t>Se Deroga</w:t>
            </w:r>
            <w:r w:rsidRPr="000C0315">
              <w:rPr>
                <w:rStyle w:val="Ninguno"/>
                <w:rFonts w:ascii="Arial" w:eastAsia="Arial" w:hAnsi="Arial" w:cs="Arial"/>
                <w:spacing w:val="2"/>
                <w:sz w:val="22"/>
                <w:szCs w:val="22"/>
              </w:rPr>
              <w:t>;</w:t>
            </w:r>
          </w:p>
          <w:p w:rsidR="008B2274" w:rsidRPr="000C0315" w:rsidRDefault="008B2274" w:rsidP="00F17E68">
            <w:pPr>
              <w:pStyle w:val="Sinespaciado"/>
              <w:jc w:val="both"/>
              <w:rPr>
                <w:rStyle w:val="Ninguno"/>
                <w:rFonts w:ascii="Arial" w:eastAsia="Arial" w:hAnsi="Arial" w:cs="Arial"/>
                <w:spacing w:val="2"/>
                <w:sz w:val="22"/>
                <w:szCs w:val="22"/>
              </w:rPr>
            </w:pPr>
            <w:r w:rsidRPr="000C0315">
              <w:rPr>
                <w:rStyle w:val="Ninguno"/>
                <w:rFonts w:ascii="Arial" w:eastAsia="Arial" w:hAnsi="Arial" w:cs="Arial"/>
                <w:spacing w:val="2"/>
                <w:sz w:val="22"/>
                <w:szCs w:val="22"/>
              </w:rPr>
              <w:t>III. Dirección de Ingresos;</w:t>
            </w:r>
          </w:p>
          <w:p w:rsidR="008B2274" w:rsidRPr="000C0315" w:rsidRDefault="008B2274" w:rsidP="00F17E68">
            <w:pPr>
              <w:pStyle w:val="Sinespaciado"/>
              <w:jc w:val="both"/>
              <w:rPr>
                <w:rStyle w:val="Ninguno"/>
                <w:rFonts w:ascii="Arial" w:eastAsia="Arial" w:hAnsi="Arial" w:cs="Arial"/>
                <w:spacing w:val="2"/>
                <w:sz w:val="22"/>
                <w:szCs w:val="22"/>
              </w:rPr>
            </w:pPr>
            <w:r w:rsidRPr="000C0315">
              <w:rPr>
                <w:rStyle w:val="Ninguno"/>
                <w:rFonts w:ascii="Arial" w:eastAsia="Arial" w:hAnsi="Arial" w:cs="Arial"/>
                <w:spacing w:val="2"/>
                <w:sz w:val="22"/>
                <w:szCs w:val="22"/>
              </w:rPr>
              <w:t>IV. Dirección de Egresos;</w:t>
            </w:r>
          </w:p>
          <w:p w:rsidR="008B2274" w:rsidRPr="000C0315" w:rsidRDefault="008B2274" w:rsidP="00F17E68">
            <w:pPr>
              <w:pStyle w:val="Sinespaciado"/>
              <w:jc w:val="both"/>
              <w:rPr>
                <w:rStyle w:val="Ninguno"/>
                <w:rFonts w:ascii="Arial" w:eastAsia="Arial" w:hAnsi="Arial" w:cs="Arial"/>
                <w:spacing w:val="2"/>
                <w:sz w:val="22"/>
                <w:szCs w:val="22"/>
              </w:rPr>
            </w:pPr>
            <w:r w:rsidRPr="000C0315">
              <w:rPr>
                <w:rStyle w:val="Ninguno"/>
                <w:rFonts w:ascii="Arial" w:eastAsia="Arial" w:hAnsi="Arial" w:cs="Arial"/>
                <w:spacing w:val="2"/>
                <w:sz w:val="22"/>
                <w:szCs w:val="22"/>
              </w:rPr>
              <w:t xml:space="preserve">V. </w:t>
            </w:r>
            <w:r w:rsidRPr="000C0315">
              <w:rPr>
                <w:rStyle w:val="Ninguno"/>
                <w:rFonts w:ascii="Arial" w:hAnsi="Arial"/>
                <w:sz w:val="22"/>
                <w:szCs w:val="22"/>
                <w:u w:val="single"/>
              </w:rPr>
              <w:t>Se Deroga</w:t>
            </w:r>
            <w:r w:rsidRPr="000C0315">
              <w:rPr>
                <w:rStyle w:val="Ninguno"/>
                <w:rFonts w:ascii="Arial" w:eastAsia="Arial" w:hAnsi="Arial" w:cs="Arial"/>
                <w:spacing w:val="2"/>
                <w:sz w:val="22"/>
                <w:szCs w:val="22"/>
              </w:rPr>
              <w:t>;</w:t>
            </w:r>
          </w:p>
          <w:p w:rsidR="008B2274" w:rsidRPr="000C0315" w:rsidRDefault="008B2274" w:rsidP="00F17E68">
            <w:pPr>
              <w:pStyle w:val="Sinespaciado"/>
              <w:jc w:val="both"/>
              <w:rPr>
                <w:rStyle w:val="Ninguno"/>
                <w:rFonts w:ascii="Arial" w:eastAsia="Arial" w:hAnsi="Arial" w:cs="Arial"/>
                <w:spacing w:val="2"/>
                <w:sz w:val="22"/>
                <w:szCs w:val="22"/>
              </w:rPr>
            </w:pPr>
            <w:r w:rsidRPr="000C0315">
              <w:rPr>
                <w:rStyle w:val="Ninguno"/>
                <w:rFonts w:ascii="Arial" w:eastAsia="Arial" w:hAnsi="Arial" w:cs="Arial"/>
                <w:spacing w:val="2"/>
                <w:sz w:val="22"/>
                <w:szCs w:val="22"/>
              </w:rPr>
              <w:t>VI. Dirección de Informática;</w:t>
            </w:r>
          </w:p>
          <w:p w:rsidR="008B2274" w:rsidRPr="000C0315" w:rsidRDefault="008B2274" w:rsidP="00F17E68">
            <w:pPr>
              <w:pStyle w:val="Sinespaciado"/>
              <w:jc w:val="both"/>
              <w:rPr>
                <w:rStyle w:val="Ninguno"/>
                <w:rFonts w:ascii="Arial" w:eastAsia="Arial" w:hAnsi="Arial" w:cs="Arial"/>
                <w:spacing w:val="2"/>
                <w:sz w:val="22"/>
                <w:szCs w:val="22"/>
              </w:rPr>
            </w:pPr>
            <w:r w:rsidRPr="000C0315">
              <w:rPr>
                <w:rStyle w:val="Ninguno"/>
                <w:rFonts w:ascii="Arial" w:eastAsia="Arial" w:hAnsi="Arial" w:cs="Arial"/>
                <w:spacing w:val="2"/>
                <w:sz w:val="22"/>
                <w:szCs w:val="22"/>
              </w:rPr>
              <w:t xml:space="preserve">VII. </w:t>
            </w:r>
            <w:r w:rsidRPr="000C0315">
              <w:rPr>
                <w:rStyle w:val="Ninguno"/>
                <w:rFonts w:ascii="Arial" w:hAnsi="Arial"/>
                <w:sz w:val="22"/>
                <w:szCs w:val="22"/>
                <w:u w:val="single"/>
              </w:rPr>
              <w:t>Se Deroga</w:t>
            </w:r>
            <w:r w:rsidRPr="000C0315">
              <w:rPr>
                <w:rStyle w:val="Ninguno"/>
                <w:rFonts w:ascii="Arial" w:eastAsia="Arial" w:hAnsi="Arial" w:cs="Arial"/>
                <w:spacing w:val="2"/>
                <w:sz w:val="22"/>
                <w:szCs w:val="22"/>
              </w:rPr>
              <w:t>;y</w:t>
            </w:r>
          </w:p>
          <w:p w:rsidR="008B2274" w:rsidRPr="000C0315" w:rsidRDefault="008B2274" w:rsidP="00F17E68">
            <w:pPr>
              <w:pStyle w:val="Sinespaciado"/>
              <w:jc w:val="both"/>
              <w:rPr>
                <w:rStyle w:val="Ninguno"/>
                <w:rFonts w:ascii="Arial" w:eastAsia="Arial" w:hAnsi="Arial" w:cs="Arial"/>
                <w:spacing w:val="2"/>
                <w:sz w:val="22"/>
                <w:szCs w:val="22"/>
              </w:rPr>
            </w:pPr>
            <w:r w:rsidRPr="000C0315">
              <w:rPr>
                <w:rStyle w:val="Ninguno"/>
                <w:rFonts w:ascii="Arial" w:eastAsia="Arial" w:hAnsi="Arial" w:cs="Arial"/>
                <w:spacing w:val="2"/>
                <w:sz w:val="22"/>
                <w:szCs w:val="22"/>
              </w:rPr>
              <w:t>VIII. Dirección General de Servicios Administrativos.</w:t>
            </w:r>
          </w:p>
          <w:p w:rsidR="008B2274" w:rsidRPr="000C0315" w:rsidRDefault="008B2274" w:rsidP="00F17E68">
            <w:pPr>
              <w:pStyle w:val="Sinespaciado"/>
              <w:jc w:val="both"/>
              <w:rPr>
                <w:rStyle w:val="Ninguno"/>
                <w:rFonts w:ascii="Arial" w:eastAsia="Arial" w:hAnsi="Arial" w:cs="Arial"/>
                <w:spacing w:val="2"/>
                <w:sz w:val="22"/>
                <w:szCs w:val="22"/>
              </w:rPr>
            </w:pPr>
          </w:p>
          <w:p w:rsidR="008B2274" w:rsidRPr="000C0315" w:rsidRDefault="008B2274" w:rsidP="00F17E68">
            <w:pPr>
              <w:pStyle w:val="Sinespaciado"/>
              <w:jc w:val="both"/>
              <w:rPr>
                <w:rStyle w:val="Ninguno"/>
                <w:rFonts w:ascii="Arial" w:eastAsia="Arial" w:hAnsi="Arial" w:cs="Arial"/>
                <w:spacing w:val="2"/>
                <w:sz w:val="22"/>
                <w:szCs w:val="22"/>
              </w:rPr>
            </w:pPr>
            <w:r w:rsidRPr="000C0315">
              <w:rPr>
                <w:rStyle w:val="Ninguno"/>
                <w:rFonts w:ascii="Arial" w:eastAsia="Arial" w:hAnsi="Arial" w:cs="Arial"/>
                <w:spacing w:val="2"/>
                <w:sz w:val="22"/>
                <w:szCs w:val="22"/>
              </w:rPr>
              <w:t>Las Unidades Administrativas estarán integradas por los titulares respectivos quienes tendrán a su cargo los servidores públicos que señale este Reglamento, los Manuales de Organización y demás disposiciones jurídicas aplicables, para el adecuado cumplimiento de las atribuciones establecidas, en apego al Presupuesto de Ingresos y Egresos autorizado a la Tesorería Municipal.</w:t>
            </w:r>
          </w:p>
        </w:tc>
      </w:tr>
    </w:tbl>
    <w:p w:rsidR="008B2274" w:rsidRPr="000C0315" w:rsidRDefault="008B2274" w:rsidP="008B2274">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Style w:val="Ninguno"/>
          <w:rFonts w:ascii="Arial" w:hAnsi="Arial"/>
          <w:b/>
          <w:bCs/>
          <w:spacing w:val="2"/>
        </w:rPr>
      </w:pPr>
    </w:p>
    <w:p w:rsidR="008B2274" w:rsidRPr="000C0315" w:rsidRDefault="008B2274" w:rsidP="008B2274">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jc w:val="both"/>
        <w:rPr>
          <w:rFonts w:ascii="Arial" w:hAnsi="Arial" w:cs="Arial"/>
        </w:rPr>
      </w:pPr>
    </w:p>
    <w:p w:rsidR="008B2274" w:rsidRPr="000C0315" w:rsidRDefault="008B2274" w:rsidP="008B2274">
      <w:pPr>
        <w:pStyle w:val="Sinespaciado"/>
        <w:jc w:val="both"/>
        <w:rPr>
          <w:rFonts w:ascii="Arial" w:hAnsi="Arial" w:cs="Arial"/>
        </w:rPr>
      </w:pPr>
      <w:r w:rsidRPr="000C0315">
        <w:rPr>
          <w:rStyle w:val="Ninguno"/>
          <w:rFonts w:ascii="Arial" w:hAnsi="Arial" w:cs="Arial"/>
          <w:b/>
          <w:bCs/>
          <w:spacing w:val="2"/>
        </w:rPr>
        <w:t xml:space="preserve">Artículo 11 Bis. </w:t>
      </w:r>
      <w:r w:rsidRPr="000C0315">
        <w:rPr>
          <w:rFonts w:ascii="Arial" w:hAnsi="Arial" w:cs="Arial"/>
        </w:rPr>
        <w:t>Corresponde al área de Programación y Presupuesto:</w:t>
      </w:r>
    </w:p>
    <w:p w:rsidR="008B2274" w:rsidRPr="000C0315" w:rsidRDefault="008B2274" w:rsidP="008B2274">
      <w:pPr>
        <w:pStyle w:val="Sinespaciado"/>
        <w:jc w:val="both"/>
        <w:rPr>
          <w:rFonts w:ascii="Arial" w:hAnsi="Arial" w:cs="Arial"/>
        </w:rPr>
      </w:pPr>
      <w:r w:rsidRPr="000C0315">
        <w:rPr>
          <w:rFonts w:ascii="Arial" w:hAnsi="Arial" w:cs="Arial"/>
        </w:rPr>
        <w:t>I. Proponer al Tesorero el valor de los inmuebles que pretenda enajenar el Municipio, para el establecimiento de giros de actividad comercial o industrial, debiendo recabar para ello, la opinión de la Dirección General de Ordenamiento Territorial y Urbanismo, así como de la Unidad de Catastro Municipal;</w:t>
      </w:r>
    </w:p>
    <w:p w:rsidR="008B2274" w:rsidRPr="000C0315" w:rsidRDefault="008B2274" w:rsidP="008B2274">
      <w:pPr>
        <w:pStyle w:val="Sinespaciado"/>
        <w:jc w:val="both"/>
        <w:rPr>
          <w:rFonts w:ascii="Arial" w:hAnsi="Arial" w:cs="Arial"/>
        </w:rPr>
      </w:pPr>
      <w:r w:rsidRPr="000C0315">
        <w:rPr>
          <w:rFonts w:ascii="Arial" w:hAnsi="Arial" w:cs="Arial"/>
        </w:rPr>
        <w:lastRenderedPageBreak/>
        <w:t>II. Controlar las erogaciones respecto al gasto corriente, conforme al Presupuesto de Egresos;</w:t>
      </w:r>
    </w:p>
    <w:p w:rsidR="008B2274" w:rsidRPr="000C0315" w:rsidRDefault="008B2274" w:rsidP="008B2274">
      <w:pPr>
        <w:pStyle w:val="Sinespaciado"/>
        <w:jc w:val="both"/>
        <w:rPr>
          <w:rFonts w:ascii="Arial" w:hAnsi="Arial" w:cs="Arial"/>
        </w:rPr>
      </w:pPr>
      <w:r w:rsidRPr="000C0315">
        <w:rPr>
          <w:rFonts w:ascii="Arial" w:hAnsi="Arial" w:cs="Arial"/>
        </w:rPr>
        <w:t>III. Proponer y aplicar las políticas básicas de la administración de recursos materiales y servicios que requieran las distintas dependencias de la administración municipal;</w:t>
      </w:r>
    </w:p>
    <w:p w:rsidR="008B2274" w:rsidRPr="000C0315" w:rsidRDefault="008B2274" w:rsidP="008B2274">
      <w:pPr>
        <w:pStyle w:val="Sinespaciado"/>
        <w:jc w:val="both"/>
        <w:rPr>
          <w:rFonts w:ascii="Arial" w:hAnsi="Arial" w:cs="Arial"/>
        </w:rPr>
      </w:pPr>
      <w:r w:rsidRPr="000C0315">
        <w:rPr>
          <w:rFonts w:ascii="Arial" w:hAnsi="Arial" w:cs="Arial"/>
        </w:rPr>
        <w:t>IV. Contratar, adquirir y suministrar, oportunamente, los bienes materiales y servicios que requieran las distintas dependencias de la administración municipal;</w:t>
      </w:r>
    </w:p>
    <w:p w:rsidR="008B2274" w:rsidRPr="000C0315" w:rsidRDefault="008B2274" w:rsidP="008B2274">
      <w:pPr>
        <w:pStyle w:val="Sinespaciado"/>
        <w:jc w:val="both"/>
        <w:rPr>
          <w:rFonts w:ascii="Arial" w:hAnsi="Arial" w:cs="Arial"/>
        </w:rPr>
      </w:pPr>
      <w:r w:rsidRPr="000C0315">
        <w:rPr>
          <w:rFonts w:ascii="Arial" w:hAnsi="Arial" w:cs="Arial"/>
        </w:rPr>
        <w:t>V. Elaborar, controlar y mantener actualizado, el inventario general de los bienes muebles, propiedad del Ayuntamiento, con su correspondiente actualización de valor, así como efectuar la contratación de los seguros necesarios, para la protección de los edificios, maquinaria, vehículos, equipos y materiales, de propiedad o en resguardo de la Administración Pública Municipal;</w:t>
      </w:r>
    </w:p>
    <w:p w:rsidR="008B2274" w:rsidRPr="000C0315" w:rsidRDefault="008B2274" w:rsidP="008B2274">
      <w:pPr>
        <w:pStyle w:val="Sinespaciado"/>
        <w:jc w:val="both"/>
        <w:rPr>
          <w:rFonts w:ascii="Arial" w:hAnsi="Arial" w:cs="Arial"/>
        </w:rPr>
      </w:pPr>
      <w:r w:rsidRPr="000C0315">
        <w:rPr>
          <w:rFonts w:ascii="Arial" w:hAnsi="Arial" w:cs="Arial"/>
        </w:rPr>
        <w:t>VI. Proporcionar el mantenimiento adecuado al parque vehicular, maquinaria y equipos, propiedad del Ayuntamiento; Expedir identificaciones, al personal adscrito al Municipio con la firma del Presidente Municipal; y organizar y proporcionar a las dependencias municipales, los servicios de intendencia, transporte, así como la dotación de mobiliario y equipo;</w:t>
      </w:r>
    </w:p>
    <w:p w:rsidR="008B2274" w:rsidRPr="000C0315" w:rsidRDefault="008B2274" w:rsidP="008B2274">
      <w:pPr>
        <w:pStyle w:val="Sinespaciado"/>
        <w:jc w:val="both"/>
        <w:rPr>
          <w:rFonts w:ascii="Arial" w:hAnsi="Arial" w:cs="Arial"/>
        </w:rPr>
      </w:pPr>
      <w:r w:rsidRPr="000C0315">
        <w:rPr>
          <w:rFonts w:ascii="Arial" w:hAnsi="Arial" w:cs="Arial"/>
        </w:rPr>
        <w:t>VII. Gestionar y promover el acceso del Municipio a los fondos, programas, apoyos y recursos económicos y materiales de las dependencias privadas y públicas, en sus diferentes órdenes de gobierno;</w:t>
      </w:r>
    </w:p>
    <w:p w:rsidR="008B2274" w:rsidRPr="000C0315" w:rsidRDefault="008B2274" w:rsidP="008B2274">
      <w:pPr>
        <w:pStyle w:val="Sinespaciado"/>
        <w:jc w:val="both"/>
        <w:rPr>
          <w:rFonts w:ascii="Arial" w:hAnsi="Arial" w:cs="Arial"/>
        </w:rPr>
      </w:pPr>
      <w:r w:rsidRPr="000C0315">
        <w:rPr>
          <w:rFonts w:ascii="Arial" w:hAnsi="Arial" w:cs="Arial"/>
        </w:rPr>
        <w:t>VIII. Llevar el control de los avances de los proyectos, acciones y obras, que se realicen con cargo a recursos, en los que intervengan aportaciones federales, estatales, municipales y de particulares.</w:t>
      </w:r>
    </w:p>
    <w:p w:rsidR="008B2274" w:rsidRPr="000C0315" w:rsidRDefault="008B2274" w:rsidP="008B2274">
      <w:pPr>
        <w:pStyle w:val="Sinespaciado"/>
        <w:jc w:val="both"/>
        <w:rPr>
          <w:rFonts w:ascii="Arial" w:hAnsi="Arial" w:cs="Arial"/>
        </w:rPr>
      </w:pPr>
    </w:p>
    <w:p w:rsidR="008B2274" w:rsidRPr="000C0315" w:rsidRDefault="008B2274" w:rsidP="008B2274">
      <w:pPr>
        <w:pStyle w:val="Sinespaciado"/>
        <w:jc w:val="both"/>
        <w:rPr>
          <w:rFonts w:ascii="Arial" w:hAnsi="Arial" w:cs="Arial"/>
        </w:rPr>
      </w:pPr>
      <w:r w:rsidRPr="000C0315">
        <w:rPr>
          <w:rFonts w:ascii="Arial" w:hAnsi="Arial" w:cs="Arial"/>
        </w:rPr>
        <w:t xml:space="preserve">Así mismo, a través del área de Inversión Pública, se establecen las siguientes </w:t>
      </w:r>
      <w:proofErr w:type="spellStart"/>
      <w:r w:rsidRPr="000C0315">
        <w:rPr>
          <w:rFonts w:ascii="Arial" w:hAnsi="Arial" w:cs="Arial"/>
        </w:rPr>
        <w:t>atribuciónes</w:t>
      </w:r>
      <w:proofErr w:type="spellEnd"/>
      <w:r w:rsidRPr="000C0315">
        <w:rPr>
          <w:rFonts w:ascii="Arial" w:hAnsi="Arial" w:cs="Arial"/>
        </w:rPr>
        <w:t>:</w:t>
      </w:r>
    </w:p>
    <w:p w:rsidR="008B2274" w:rsidRPr="000C0315" w:rsidRDefault="008B2274" w:rsidP="008B2274">
      <w:pPr>
        <w:pStyle w:val="Sinespaciado"/>
        <w:jc w:val="both"/>
        <w:rPr>
          <w:rFonts w:ascii="Arial" w:hAnsi="Arial" w:cs="Arial"/>
        </w:rPr>
      </w:pPr>
    </w:p>
    <w:p w:rsidR="008B2274" w:rsidRPr="000C0315" w:rsidRDefault="008B2274" w:rsidP="008B2274">
      <w:pPr>
        <w:pStyle w:val="Sinespaciado"/>
        <w:jc w:val="both"/>
        <w:rPr>
          <w:rFonts w:ascii="Arial" w:hAnsi="Arial" w:cs="Arial"/>
        </w:rPr>
      </w:pPr>
      <w:r w:rsidRPr="000C0315">
        <w:rPr>
          <w:rFonts w:ascii="Arial" w:hAnsi="Arial" w:cs="Arial"/>
        </w:rPr>
        <w:t>I. Gestionar, promover y acceder a los fondos, programas, apoyos y recursos económicos y materiales de las dependencias privadas y públicas en sus diferentes órdenes de gobierno;</w:t>
      </w:r>
    </w:p>
    <w:p w:rsidR="008B2274" w:rsidRPr="000C0315" w:rsidRDefault="008B2274" w:rsidP="008B2274">
      <w:pPr>
        <w:pStyle w:val="Sinespaciado"/>
        <w:jc w:val="both"/>
        <w:rPr>
          <w:rFonts w:ascii="Arial" w:hAnsi="Arial" w:cs="Arial"/>
        </w:rPr>
      </w:pPr>
      <w:r w:rsidRPr="000C0315">
        <w:rPr>
          <w:rFonts w:ascii="Arial" w:hAnsi="Arial" w:cs="Arial"/>
        </w:rPr>
        <w:t>II. Promover la coordinación entre las dependencias federales, estatales y municipales para que los recursos se utilicen de manera efectiva;</w:t>
      </w:r>
    </w:p>
    <w:p w:rsidR="008B2274" w:rsidRPr="000C0315" w:rsidRDefault="008B2274" w:rsidP="008B2274">
      <w:pPr>
        <w:pStyle w:val="Sinespaciado"/>
        <w:jc w:val="both"/>
        <w:rPr>
          <w:rFonts w:ascii="Arial" w:hAnsi="Arial" w:cs="Arial"/>
        </w:rPr>
      </w:pPr>
      <w:r w:rsidRPr="000C0315">
        <w:rPr>
          <w:rFonts w:ascii="Arial" w:hAnsi="Arial" w:cs="Arial"/>
        </w:rPr>
        <w:t>III. Proponer al Tesorero y a las dependencias técnicas y operativas, criterios de evaluación para la realización de proyectos, acciones y obras;</w:t>
      </w:r>
    </w:p>
    <w:p w:rsidR="008B2274" w:rsidRPr="000C0315" w:rsidRDefault="008B2274" w:rsidP="008B2274">
      <w:pPr>
        <w:pStyle w:val="Sinespaciado"/>
        <w:jc w:val="both"/>
        <w:rPr>
          <w:rFonts w:ascii="Arial" w:hAnsi="Arial" w:cs="Arial"/>
        </w:rPr>
      </w:pPr>
      <w:r w:rsidRPr="000C0315">
        <w:rPr>
          <w:rFonts w:ascii="Arial" w:hAnsi="Arial" w:cs="Arial"/>
        </w:rPr>
        <w:t>IV. Llevar el control de los avances de los proyectos, acciones y obras que se realicen con cargo a recursos en los que intervengan aportaciones federales, estatales, municipales y de particulares;</w:t>
      </w:r>
    </w:p>
    <w:p w:rsidR="008B2274" w:rsidRPr="000C0315" w:rsidRDefault="008B2274" w:rsidP="008B2274">
      <w:pPr>
        <w:pStyle w:val="Sinespaciado"/>
        <w:jc w:val="both"/>
        <w:rPr>
          <w:rFonts w:ascii="Arial" w:hAnsi="Arial" w:cs="Arial"/>
        </w:rPr>
      </w:pPr>
      <w:r w:rsidRPr="000C0315">
        <w:rPr>
          <w:rFonts w:ascii="Arial" w:hAnsi="Arial" w:cs="Arial"/>
        </w:rPr>
        <w:t>V. Proponer la asignación de recursos económicos a programas, obras y acciones;</w:t>
      </w:r>
    </w:p>
    <w:p w:rsidR="008B2274" w:rsidRPr="000C0315" w:rsidRDefault="008B2274" w:rsidP="008B2274">
      <w:pPr>
        <w:pStyle w:val="Sinespaciado"/>
        <w:jc w:val="both"/>
        <w:rPr>
          <w:rFonts w:ascii="Arial" w:hAnsi="Arial" w:cs="Arial"/>
        </w:rPr>
      </w:pPr>
      <w:r w:rsidRPr="000C0315">
        <w:rPr>
          <w:rFonts w:ascii="Arial" w:hAnsi="Arial" w:cs="Arial"/>
        </w:rPr>
        <w:t>VI. Evaluar y proponer al Tesorero la firma de convenios y acuerdos que afecten al presupuesto municipal;</w:t>
      </w:r>
    </w:p>
    <w:p w:rsidR="008B2274" w:rsidRPr="000C0315" w:rsidRDefault="008B2274" w:rsidP="008B2274">
      <w:pPr>
        <w:pStyle w:val="Sinespaciado"/>
        <w:jc w:val="both"/>
        <w:rPr>
          <w:rFonts w:ascii="Arial" w:hAnsi="Arial" w:cs="Arial"/>
        </w:rPr>
      </w:pPr>
      <w:r w:rsidRPr="000C0315">
        <w:rPr>
          <w:rFonts w:ascii="Arial" w:hAnsi="Arial" w:cs="Arial"/>
        </w:rPr>
        <w:t>VII. Conocer y evaluar los proyectos, propuestas y programas de desarrollo e inversión pública del municipio y los que sean presentados en el Ayuntamiento;</w:t>
      </w:r>
    </w:p>
    <w:p w:rsidR="008B2274" w:rsidRPr="000C0315" w:rsidRDefault="008B2274" w:rsidP="008B2274">
      <w:pPr>
        <w:pStyle w:val="Sinespaciado"/>
        <w:jc w:val="both"/>
        <w:rPr>
          <w:rFonts w:ascii="Arial" w:hAnsi="Arial" w:cs="Arial"/>
        </w:rPr>
      </w:pPr>
      <w:r w:rsidRPr="000C0315">
        <w:rPr>
          <w:rFonts w:ascii="Arial" w:hAnsi="Arial" w:cs="Arial"/>
        </w:rPr>
        <w:t xml:space="preserve">VIII. Desarrollar las funciones inherentes al área de su competencia que le asigne el Tesorero; y </w:t>
      </w:r>
    </w:p>
    <w:p w:rsidR="008B2274" w:rsidRPr="000C0315" w:rsidRDefault="008B2274" w:rsidP="008B2274">
      <w:pPr>
        <w:pStyle w:val="Sinespaciado"/>
        <w:jc w:val="both"/>
        <w:rPr>
          <w:rFonts w:ascii="Arial" w:hAnsi="Arial" w:cs="Arial"/>
        </w:rPr>
      </w:pPr>
      <w:r w:rsidRPr="000C0315">
        <w:rPr>
          <w:rFonts w:ascii="Arial" w:hAnsi="Arial" w:cs="Arial"/>
        </w:rPr>
        <w:t>IX. Las demás que le señalen las leyes y reglamentos que resulten aplicables.</w:t>
      </w:r>
    </w:p>
    <w:p w:rsidR="008B2274" w:rsidRPr="000C0315" w:rsidRDefault="008B2274" w:rsidP="008B2274">
      <w:pPr>
        <w:jc w:val="both"/>
        <w:rPr>
          <w:rFonts w:ascii="Arial" w:hAnsi="Arial" w:cs="Arial"/>
          <w:sz w:val="22"/>
          <w:szCs w:val="22"/>
        </w:rPr>
      </w:pPr>
      <w:r w:rsidRPr="000C0315">
        <w:rPr>
          <w:rFonts w:ascii="Arial" w:hAnsi="Arial" w:cs="Arial"/>
          <w:sz w:val="22"/>
          <w:szCs w:val="22"/>
        </w:rPr>
        <w:t xml:space="preserve"> </w:t>
      </w:r>
    </w:p>
    <w:p w:rsidR="008B2274" w:rsidRPr="000C0315" w:rsidRDefault="008B2274" w:rsidP="008B2274">
      <w:pPr>
        <w:jc w:val="both"/>
        <w:rPr>
          <w:rFonts w:ascii="Arial" w:hAnsi="Arial" w:cs="Arial"/>
          <w:sz w:val="22"/>
          <w:szCs w:val="22"/>
        </w:rPr>
      </w:pPr>
    </w:p>
    <w:tbl>
      <w:tblPr>
        <w:tblStyle w:val="Tablaconcuadrcula"/>
        <w:tblW w:w="896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1"/>
      </w:tblGrid>
      <w:tr w:rsidR="008B2274" w:rsidRPr="000C0315" w:rsidTr="00F17E68">
        <w:trPr>
          <w:trHeight w:val="311"/>
        </w:trPr>
        <w:tc>
          <w:tcPr>
            <w:tcW w:w="8961" w:type="dxa"/>
          </w:tcPr>
          <w:p w:rsidR="008B2274" w:rsidRPr="000C0315" w:rsidRDefault="008B2274" w:rsidP="00F17E68">
            <w:pPr>
              <w:pStyle w:val="PoromisinA"/>
              <w:ind w:left="105"/>
              <w:jc w:val="both"/>
              <w:rPr>
                <w:rStyle w:val="Ninguno"/>
                <w:rFonts w:ascii="Arial" w:eastAsia="Arial" w:hAnsi="Arial" w:cs="Arial"/>
                <w:spacing w:val="2"/>
                <w:sz w:val="22"/>
                <w:szCs w:val="22"/>
              </w:rPr>
            </w:pPr>
            <w:r w:rsidRPr="000C0315">
              <w:rPr>
                <w:rFonts w:ascii="Arial" w:hAnsi="Arial" w:cs="Arial"/>
                <w:b/>
                <w:sz w:val="22"/>
                <w:szCs w:val="22"/>
              </w:rPr>
              <w:t xml:space="preserve">Artículo 12. </w:t>
            </w:r>
            <w:r w:rsidRPr="000C0315">
              <w:rPr>
                <w:rStyle w:val="Ninguno"/>
                <w:rFonts w:ascii="Arial" w:hAnsi="Arial"/>
                <w:color w:val="auto"/>
                <w:sz w:val="22"/>
                <w:szCs w:val="22"/>
                <w:u w:color="0432FF"/>
              </w:rPr>
              <w:t>Se Deroga</w:t>
            </w:r>
            <w:r w:rsidRPr="000C0315">
              <w:rPr>
                <w:rStyle w:val="Ninguno"/>
                <w:rFonts w:ascii="Arial" w:hAnsi="Arial"/>
                <w:color w:val="0432FF"/>
                <w:sz w:val="22"/>
                <w:szCs w:val="22"/>
                <w:u w:color="0432FF"/>
              </w:rPr>
              <w:t>.</w:t>
            </w:r>
          </w:p>
        </w:tc>
      </w:tr>
    </w:tbl>
    <w:p w:rsidR="008B2274" w:rsidRPr="000C0315" w:rsidRDefault="008B2274" w:rsidP="008B2274">
      <w:pPr>
        <w:jc w:val="both"/>
        <w:rPr>
          <w:rFonts w:ascii="Arial" w:hAnsi="Arial" w:cs="Arial"/>
          <w:sz w:val="22"/>
          <w:szCs w:val="22"/>
        </w:rPr>
      </w:pPr>
    </w:p>
    <w:p w:rsidR="008B2274" w:rsidRPr="000C0315" w:rsidRDefault="008B2274" w:rsidP="008B2274">
      <w:pPr>
        <w:jc w:val="both"/>
        <w:rPr>
          <w:rFonts w:ascii="Arial" w:hAnsi="Arial" w:cs="Arial"/>
          <w:sz w:val="22"/>
          <w:szCs w:val="22"/>
        </w:rPr>
      </w:pPr>
    </w:p>
    <w:tbl>
      <w:tblPr>
        <w:tblStyle w:val="Tablaconcuadrcula"/>
        <w:tblW w:w="896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1"/>
      </w:tblGrid>
      <w:tr w:rsidR="008B2274" w:rsidRPr="000C0315" w:rsidTr="00F17E68">
        <w:trPr>
          <w:trHeight w:val="344"/>
        </w:trPr>
        <w:tc>
          <w:tcPr>
            <w:tcW w:w="8961" w:type="dxa"/>
          </w:tcPr>
          <w:p w:rsidR="008B2274" w:rsidRPr="000C0315" w:rsidRDefault="008B2274" w:rsidP="00F17E68">
            <w:pPr>
              <w:pStyle w:val="PoromisinA"/>
              <w:pBdr>
                <w:top w:val="none" w:sz="0" w:space="0" w:color="auto"/>
                <w:left w:val="none" w:sz="0" w:space="0" w:color="auto"/>
                <w:bottom w:val="none" w:sz="0" w:space="0" w:color="auto"/>
                <w:right w:val="none" w:sz="0" w:space="0" w:color="auto"/>
                <w:between w:val="none" w:sz="0" w:space="0" w:color="auto"/>
                <w:bar w:val="none" w:sz="0" w:color="auto"/>
              </w:pBdr>
              <w:ind w:left="105"/>
              <w:jc w:val="both"/>
              <w:rPr>
                <w:rStyle w:val="Ninguno"/>
                <w:rFonts w:ascii="Arial" w:eastAsia="Arial" w:hAnsi="Arial" w:cs="Arial"/>
                <w:color w:val="auto"/>
                <w:spacing w:val="2"/>
                <w:sz w:val="22"/>
                <w:szCs w:val="22"/>
              </w:rPr>
            </w:pPr>
            <w:r w:rsidRPr="000C0315">
              <w:rPr>
                <w:rFonts w:ascii="Arial" w:hAnsi="Arial" w:cs="Arial"/>
                <w:b/>
                <w:color w:val="auto"/>
                <w:sz w:val="22"/>
                <w:szCs w:val="22"/>
              </w:rPr>
              <w:t xml:space="preserve">Artículo 16. </w:t>
            </w:r>
            <w:r w:rsidRPr="000C0315">
              <w:rPr>
                <w:rStyle w:val="Ninguno"/>
                <w:rFonts w:ascii="Arial" w:hAnsi="Arial"/>
                <w:color w:val="auto"/>
                <w:sz w:val="22"/>
                <w:szCs w:val="22"/>
                <w:u w:color="0432FF"/>
              </w:rPr>
              <w:t>Se Deroga.</w:t>
            </w:r>
          </w:p>
        </w:tc>
      </w:tr>
    </w:tbl>
    <w:p w:rsidR="008B2274" w:rsidRPr="000C0315" w:rsidRDefault="008B2274" w:rsidP="008B2274">
      <w:pPr>
        <w:jc w:val="both"/>
        <w:rPr>
          <w:rFonts w:ascii="Arial" w:hAnsi="Arial" w:cs="Arial"/>
          <w:sz w:val="22"/>
          <w:szCs w:val="22"/>
        </w:rPr>
      </w:pPr>
    </w:p>
    <w:p w:rsidR="008B2274" w:rsidRPr="0050315F" w:rsidRDefault="008B2274" w:rsidP="008B2274">
      <w:pPr>
        <w:shd w:val="clear" w:color="auto" w:fill="FFFFFF"/>
        <w:ind w:left="567" w:right="567"/>
        <w:jc w:val="center"/>
        <w:rPr>
          <w:rFonts w:ascii="Arial" w:hAnsi="Arial" w:cs="Arial"/>
          <w:b/>
          <w:color w:val="212121"/>
          <w:sz w:val="22"/>
          <w:szCs w:val="22"/>
          <w:lang w:eastAsia="es-MX"/>
        </w:rPr>
      </w:pPr>
      <w:r w:rsidRPr="0050315F">
        <w:rPr>
          <w:rFonts w:ascii="Arial" w:hAnsi="Arial" w:cs="Arial"/>
          <w:b/>
          <w:color w:val="212121"/>
          <w:sz w:val="22"/>
          <w:szCs w:val="22"/>
          <w:lang w:eastAsia="es-MX"/>
        </w:rPr>
        <w:lastRenderedPageBreak/>
        <w:t>TRANSITORIOS</w:t>
      </w:r>
    </w:p>
    <w:p w:rsidR="008B2274" w:rsidRPr="0050315F" w:rsidRDefault="008B2274" w:rsidP="008B2274">
      <w:pPr>
        <w:shd w:val="clear" w:color="auto" w:fill="FFFFFF"/>
        <w:tabs>
          <w:tab w:val="left" w:pos="5247"/>
        </w:tabs>
        <w:ind w:left="567" w:right="567"/>
        <w:rPr>
          <w:rFonts w:ascii="Arial" w:hAnsi="Arial" w:cs="Arial"/>
          <w:b/>
          <w:color w:val="212121"/>
          <w:sz w:val="22"/>
          <w:szCs w:val="22"/>
          <w:lang w:eastAsia="es-MX"/>
        </w:rPr>
      </w:pPr>
      <w:r>
        <w:rPr>
          <w:rFonts w:ascii="Arial" w:hAnsi="Arial" w:cs="Arial"/>
          <w:b/>
          <w:color w:val="212121"/>
          <w:sz w:val="22"/>
          <w:szCs w:val="22"/>
          <w:lang w:eastAsia="es-MX"/>
        </w:rPr>
        <w:tab/>
      </w:r>
    </w:p>
    <w:p w:rsidR="008B2274" w:rsidRPr="0050315F" w:rsidRDefault="008B2274" w:rsidP="008B2274">
      <w:pPr>
        <w:shd w:val="clear" w:color="auto" w:fill="FFFFFF"/>
        <w:tabs>
          <w:tab w:val="left" w:pos="8080"/>
        </w:tabs>
        <w:ind w:right="567"/>
        <w:jc w:val="both"/>
        <w:rPr>
          <w:rFonts w:ascii="Arial" w:hAnsi="Arial" w:cs="Arial"/>
          <w:color w:val="212121"/>
          <w:sz w:val="22"/>
          <w:szCs w:val="22"/>
          <w:lang w:eastAsia="es-MX"/>
        </w:rPr>
      </w:pPr>
      <w:r w:rsidRPr="0050315F">
        <w:rPr>
          <w:rFonts w:ascii="Arial" w:hAnsi="Arial" w:cs="Arial"/>
          <w:b/>
          <w:color w:val="212121"/>
          <w:sz w:val="22"/>
          <w:szCs w:val="22"/>
          <w:lang w:eastAsia="es-MX"/>
        </w:rPr>
        <w:t>Primero.</w:t>
      </w:r>
      <w:r w:rsidRPr="0050315F">
        <w:rPr>
          <w:rFonts w:ascii="Arial" w:hAnsi="Arial" w:cs="Arial"/>
          <w:color w:val="212121"/>
          <w:sz w:val="22"/>
          <w:szCs w:val="22"/>
          <w:lang w:eastAsia="es-MX"/>
        </w:rPr>
        <w:t xml:space="preserve"> La presente reforma entrará en vigor al día siguiente de su publicación en la Gaceta Municipal;</w:t>
      </w:r>
    </w:p>
    <w:p w:rsidR="008B2274" w:rsidRPr="0050315F" w:rsidRDefault="008B2274" w:rsidP="008B2274">
      <w:pPr>
        <w:shd w:val="clear" w:color="auto" w:fill="FFFFFF"/>
        <w:tabs>
          <w:tab w:val="left" w:pos="8080"/>
        </w:tabs>
        <w:ind w:right="567" w:firstLine="708"/>
        <w:jc w:val="both"/>
        <w:rPr>
          <w:rFonts w:ascii="Arial" w:hAnsi="Arial" w:cs="Arial"/>
          <w:color w:val="212121"/>
          <w:sz w:val="22"/>
          <w:szCs w:val="22"/>
          <w:lang w:eastAsia="es-MX"/>
        </w:rPr>
      </w:pPr>
    </w:p>
    <w:p w:rsidR="008B2274" w:rsidRPr="0050315F" w:rsidRDefault="008B2274" w:rsidP="008B2274">
      <w:pPr>
        <w:shd w:val="clear" w:color="auto" w:fill="FFFFFF"/>
        <w:tabs>
          <w:tab w:val="left" w:pos="8080"/>
        </w:tabs>
        <w:ind w:right="567"/>
        <w:jc w:val="both"/>
        <w:rPr>
          <w:rFonts w:ascii="Arial" w:hAnsi="Arial" w:cs="Arial"/>
          <w:color w:val="212121"/>
          <w:sz w:val="22"/>
          <w:szCs w:val="22"/>
          <w:lang w:eastAsia="es-MX"/>
        </w:rPr>
      </w:pPr>
      <w:r w:rsidRPr="0050315F">
        <w:rPr>
          <w:rFonts w:ascii="Arial" w:hAnsi="Arial" w:cs="Arial"/>
          <w:b/>
          <w:color w:val="212121"/>
          <w:sz w:val="22"/>
          <w:szCs w:val="22"/>
          <w:lang w:eastAsia="es-MX"/>
        </w:rPr>
        <w:t>Segundo.</w:t>
      </w:r>
      <w:r w:rsidRPr="0050315F">
        <w:rPr>
          <w:rFonts w:ascii="Arial" w:hAnsi="Arial" w:cs="Arial"/>
          <w:color w:val="212121"/>
          <w:sz w:val="22"/>
          <w:szCs w:val="22"/>
          <w:lang w:eastAsia="es-MX"/>
        </w:rPr>
        <w:t xml:space="preserve"> Se instruye al Secretario del Republicano Ayuntamiento para que solicite la publicación respectiva en el Periódico Oficial del Gobierno del Estado; y</w:t>
      </w:r>
    </w:p>
    <w:p w:rsidR="008B2274" w:rsidRPr="0050315F" w:rsidRDefault="008B2274" w:rsidP="008B2274">
      <w:pPr>
        <w:shd w:val="clear" w:color="auto" w:fill="FFFFFF"/>
        <w:tabs>
          <w:tab w:val="left" w:pos="8080"/>
        </w:tabs>
        <w:ind w:right="567"/>
        <w:jc w:val="both"/>
        <w:rPr>
          <w:rFonts w:ascii="Arial" w:hAnsi="Arial" w:cs="Arial"/>
          <w:color w:val="212121"/>
          <w:sz w:val="22"/>
          <w:szCs w:val="22"/>
          <w:lang w:eastAsia="es-MX"/>
        </w:rPr>
      </w:pPr>
    </w:p>
    <w:p w:rsidR="008B2274" w:rsidRPr="0050315F" w:rsidRDefault="008B2274" w:rsidP="008B2274">
      <w:pPr>
        <w:shd w:val="clear" w:color="auto" w:fill="FFFFFF"/>
        <w:tabs>
          <w:tab w:val="left" w:pos="8080"/>
        </w:tabs>
        <w:ind w:right="567"/>
        <w:jc w:val="both"/>
        <w:rPr>
          <w:rFonts w:ascii="Arial" w:hAnsi="Arial" w:cs="Arial"/>
          <w:color w:val="212121"/>
          <w:sz w:val="22"/>
          <w:szCs w:val="22"/>
          <w:lang w:eastAsia="es-MX"/>
        </w:rPr>
      </w:pPr>
      <w:r w:rsidRPr="0050315F">
        <w:rPr>
          <w:rFonts w:ascii="Arial" w:hAnsi="Arial" w:cs="Arial"/>
          <w:b/>
          <w:color w:val="212121"/>
          <w:sz w:val="22"/>
          <w:szCs w:val="22"/>
          <w:lang w:eastAsia="es-MX"/>
        </w:rPr>
        <w:t>Tercero.</w:t>
      </w:r>
      <w:r w:rsidRPr="0050315F">
        <w:rPr>
          <w:rFonts w:ascii="Arial" w:hAnsi="Arial" w:cs="Arial"/>
          <w:color w:val="212121"/>
          <w:sz w:val="22"/>
          <w:szCs w:val="22"/>
          <w:lang w:eastAsia="es-MX"/>
        </w:rPr>
        <w:t xml:space="preserve"> Se derogan todas las disposiciones administrativas reglamentarias que se opongan a la presente reforma.</w:t>
      </w:r>
    </w:p>
    <w:p w:rsidR="008B2274" w:rsidRPr="000C0315" w:rsidRDefault="008B2274" w:rsidP="008B2274">
      <w:pPr>
        <w:jc w:val="both"/>
        <w:rPr>
          <w:rFonts w:ascii="Arial" w:hAnsi="Arial" w:cs="Arial"/>
          <w:sz w:val="22"/>
          <w:szCs w:val="22"/>
        </w:rPr>
      </w:pPr>
    </w:p>
    <w:p w:rsidR="008B2274" w:rsidRPr="000C0315" w:rsidRDefault="008B2274" w:rsidP="008B2274">
      <w:pPr>
        <w:jc w:val="both"/>
        <w:rPr>
          <w:rFonts w:ascii="Arial" w:hAnsi="Arial" w:cs="Arial"/>
          <w:sz w:val="22"/>
          <w:szCs w:val="22"/>
        </w:rPr>
      </w:pP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tblGrid>
      <w:tr w:rsidR="008B2274" w:rsidRPr="000C0315" w:rsidTr="00F17E68">
        <w:trPr>
          <w:trHeight w:val="1843"/>
        </w:trPr>
        <w:tc>
          <w:tcPr>
            <w:tcW w:w="7938" w:type="dxa"/>
          </w:tcPr>
          <w:p w:rsidR="008B2274" w:rsidRPr="000C0315" w:rsidRDefault="008B2274" w:rsidP="00F17E68">
            <w:pPr>
              <w:spacing w:line="276" w:lineRule="auto"/>
              <w:ind w:left="567" w:right="758"/>
              <w:jc w:val="both"/>
              <w:rPr>
                <w:rFonts w:ascii="Arial" w:hAnsi="Arial" w:cs="Arial"/>
                <w:sz w:val="22"/>
                <w:szCs w:val="22"/>
              </w:rPr>
            </w:pPr>
          </w:p>
          <w:p w:rsidR="008B2274" w:rsidRPr="000C0315" w:rsidRDefault="008B2274" w:rsidP="00F17E68">
            <w:pPr>
              <w:spacing w:line="360" w:lineRule="auto"/>
              <w:jc w:val="center"/>
              <w:rPr>
                <w:rFonts w:ascii="Arial" w:hAnsi="Arial" w:cs="Arial"/>
                <w:b/>
                <w:sz w:val="22"/>
                <w:szCs w:val="22"/>
              </w:rPr>
            </w:pPr>
            <w:r w:rsidRPr="000C0315">
              <w:rPr>
                <w:rFonts w:ascii="Arial" w:hAnsi="Arial" w:cs="Arial"/>
                <w:b/>
                <w:sz w:val="22"/>
                <w:szCs w:val="22"/>
              </w:rPr>
              <w:t>PRESIDENTE MUNICIPAL DE TORREÓN</w:t>
            </w:r>
          </w:p>
          <w:p w:rsidR="008B2274" w:rsidRPr="000C0315" w:rsidRDefault="008B2274" w:rsidP="00F17E68">
            <w:pPr>
              <w:spacing w:line="360" w:lineRule="auto"/>
              <w:jc w:val="center"/>
              <w:rPr>
                <w:rFonts w:ascii="Arial" w:hAnsi="Arial" w:cs="Arial"/>
                <w:b/>
                <w:sz w:val="22"/>
                <w:szCs w:val="22"/>
              </w:rPr>
            </w:pPr>
          </w:p>
          <w:p w:rsidR="008B2274" w:rsidRDefault="008B2274" w:rsidP="00F17E68">
            <w:pPr>
              <w:spacing w:line="360" w:lineRule="auto"/>
              <w:jc w:val="center"/>
              <w:rPr>
                <w:rFonts w:ascii="Arial" w:hAnsi="Arial" w:cs="Arial"/>
                <w:b/>
                <w:sz w:val="22"/>
                <w:szCs w:val="22"/>
              </w:rPr>
            </w:pPr>
          </w:p>
          <w:p w:rsidR="008B2274" w:rsidRPr="000C0315" w:rsidRDefault="008B2274" w:rsidP="00F17E68">
            <w:pPr>
              <w:spacing w:line="360" w:lineRule="auto"/>
              <w:jc w:val="center"/>
              <w:rPr>
                <w:rFonts w:ascii="Arial" w:hAnsi="Arial" w:cs="Arial"/>
                <w:b/>
                <w:sz w:val="22"/>
                <w:szCs w:val="22"/>
              </w:rPr>
            </w:pPr>
          </w:p>
          <w:p w:rsidR="008B2274" w:rsidRPr="000C0315" w:rsidRDefault="008B2274" w:rsidP="00F17E68">
            <w:pPr>
              <w:spacing w:line="360" w:lineRule="auto"/>
              <w:jc w:val="center"/>
              <w:rPr>
                <w:rFonts w:ascii="Arial" w:hAnsi="Arial" w:cs="Arial"/>
                <w:b/>
                <w:sz w:val="22"/>
                <w:szCs w:val="22"/>
              </w:rPr>
            </w:pPr>
            <w:r w:rsidRPr="000C0315">
              <w:rPr>
                <w:rFonts w:ascii="Arial" w:hAnsi="Arial" w:cs="Arial"/>
                <w:b/>
                <w:sz w:val="22"/>
                <w:szCs w:val="22"/>
              </w:rPr>
              <w:t>LIC. JORGE ZERMEÑO INFANTE.</w:t>
            </w:r>
          </w:p>
          <w:p w:rsidR="008B2274" w:rsidRDefault="008B2274" w:rsidP="00F17E68">
            <w:pPr>
              <w:spacing w:line="360" w:lineRule="auto"/>
              <w:jc w:val="center"/>
              <w:rPr>
                <w:rFonts w:ascii="Arial" w:hAnsi="Arial" w:cs="Arial"/>
                <w:b/>
                <w:sz w:val="22"/>
                <w:szCs w:val="22"/>
              </w:rPr>
            </w:pPr>
          </w:p>
          <w:p w:rsidR="008B2274" w:rsidRPr="000C0315" w:rsidRDefault="008B2274" w:rsidP="00F17E68">
            <w:pPr>
              <w:spacing w:line="360" w:lineRule="auto"/>
              <w:jc w:val="center"/>
              <w:rPr>
                <w:rFonts w:ascii="Arial" w:hAnsi="Arial" w:cs="Arial"/>
                <w:b/>
                <w:sz w:val="22"/>
                <w:szCs w:val="22"/>
              </w:rPr>
            </w:pPr>
            <w:r w:rsidRPr="000C0315">
              <w:rPr>
                <w:rFonts w:ascii="Arial" w:hAnsi="Arial" w:cs="Arial"/>
                <w:b/>
                <w:sz w:val="22"/>
                <w:szCs w:val="22"/>
              </w:rPr>
              <w:t>SECRETARIO DEL AYUNTAMIENTO</w:t>
            </w:r>
          </w:p>
          <w:p w:rsidR="008B2274" w:rsidRDefault="008B2274" w:rsidP="00F17E68">
            <w:pPr>
              <w:spacing w:line="360" w:lineRule="auto"/>
              <w:jc w:val="center"/>
              <w:rPr>
                <w:rFonts w:ascii="Arial" w:hAnsi="Arial" w:cs="Arial"/>
                <w:b/>
                <w:sz w:val="22"/>
                <w:szCs w:val="22"/>
              </w:rPr>
            </w:pPr>
          </w:p>
          <w:p w:rsidR="008B2274" w:rsidRPr="000C0315" w:rsidRDefault="008B2274" w:rsidP="00F17E68">
            <w:pPr>
              <w:spacing w:line="360" w:lineRule="auto"/>
              <w:jc w:val="center"/>
              <w:rPr>
                <w:rFonts w:ascii="Arial" w:hAnsi="Arial" w:cs="Arial"/>
                <w:b/>
                <w:sz w:val="22"/>
                <w:szCs w:val="22"/>
              </w:rPr>
            </w:pPr>
          </w:p>
          <w:p w:rsidR="008B2274" w:rsidRPr="000C0315" w:rsidRDefault="008B2274" w:rsidP="00F17E68">
            <w:pPr>
              <w:spacing w:line="360" w:lineRule="auto"/>
              <w:jc w:val="center"/>
              <w:rPr>
                <w:rFonts w:ascii="Arial" w:hAnsi="Arial" w:cs="Arial"/>
                <w:b/>
                <w:sz w:val="22"/>
                <w:szCs w:val="22"/>
              </w:rPr>
            </w:pPr>
          </w:p>
          <w:p w:rsidR="008B2274" w:rsidRPr="000C0315" w:rsidRDefault="008B2274" w:rsidP="00F17E68">
            <w:pPr>
              <w:spacing w:line="360" w:lineRule="auto"/>
              <w:jc w:val="center"/>
              <w:rPr>
                <w:rFonts w:ascii="Arial" w:hAnsi="Arial" w:cs="Arial"/>
                <w:b/>
                <w:sz w:val="22"/>
                <w:szCs w:val="22"/>
              </w:rPr>
            </w:pPr>
            <w:r w:rsidRPr="000C0315">
              <w:rPr>
                <w:rFonts w:ascii="Arial" w:hAnsi="Arial" w:cs="Arial"/>
                <w:b/>
                <w:sz w:val="22"/>
                <w:szCs w:val="22"/>
              </w:rPr>
              <w:t>LIC. SERGIO LARA GALVÁN.</w:t>
            </w:r>
          </w:p>
          <w:p w:rsidR="008B2274" w:rsidRPr="000C0315" w:rsidRDefault="008B2274" w:rsidP="00F17E68">
            <w:pPr>
              <w:spacing w:line="360" w:lineRule="auto"/>
              <w:rPr>
                <w:rFonts w:ascii="Arial" w:hAnsi="Arial" w:cs="Arial"/>
                <w:b/>
                <w:sz w:val="22"/>
                <w:szCs w:val="22"/>
              </w:rPr>
            </w:pPr>
          </w:p>
          <w:p w:rsidR="008B2274" w:rsidRPr="000C0315" w:rsidRDefault="008B2274" w:rsidP="00F17E68">
            <w:pPr>
              <w:spacing w:line="360" w:lineRule="auto"/>
              <w:jc w:val="center"/>
              <w:rPr>
                <w:rFonts w:ascii="Arial" w:hAnsi="Arial" w:cs="Arial"/>
                <w:b/>
                <w:sz w:val="22"/>
                <w:szCs w:val="22"/>
              </w:rPr>
            </w:pPr>
          </w:p>
          <w:p w:rsidR="008B2274" w:rsidRPr="000C0315" w:rsidRDefault="008B2274" w:rsidP="00F17E68">
            <w:pPr>
              <w:spacing w:line="276" w:lineRule="auto"/>
              <w:ind w:left="1416"/>
              <w:jc w:val="both"/>
              <w:rPr>
                <w:rFonts w:ascii="Arial" w:hAnsi="Arial" w:cs="Arial"/>
                <w:sz w:val="22"/>
                <w:szCs w:val="22"/>
              </w:rPr>
            </w:pPr>
          </w:p>
          <w:p w:rsidR="008B2274" w:rsidRPr="000C0315" w:rsidRDefault="008B2274" w:rsidP="00F17E68">
            <w:pPr>
              <w:rPr>
                <w:sz w:val="22"/>
                <w:szCs w:val="22"/>
              </w:rPr>
            </w:pPr>
          </w:p>
          <w:p w:rsidR="008B2274" w:rsidRPr="000C0315" w:rsidRDefault="008B2274" w:rsidP="00F17E68">
            <w:pPr>
              <w:spacing w:line="276" w:lineRule="auto"/>
              <w:ind w:left="567" w:right="758"/>
              <w:jc w:val="both"/>
              <w:rPr>
                <w:rFonts w:ascii="Arial" w:hAnsi="Arial" w:cs="Arial"/>
                <w:sz w:val="22"/>
                <w:szCs w:val="22"/>
              </w:rPr>
            </w:pPr>
          </w:p>
        </w:tc>
      </w:tr>
    </w:tbl>
    <w:p w:rsidR="00055EF0" w:rsidRDefault="00055EF0">
      <w:bookmarkStart w:id="0" w:name="_GoBack"/>
      <w:bookmarkEnd w:id="0"/>
    </w:p>
    <w:sectPr w:rsidR="00055E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274"/>
    <w:rsid w:val="00055EF0"/>
    <w:rsid w:val="008B22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EE637-8D16-4CB9-98A3-2232AF3AA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27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B2274"/>
    <w:pPr>
      <w:spacing w:after="0" w:line="240" w:lineRule="auto"/>
    </w:pPr>
    <w:rPr>
      <w:rFonts w:ascii="Calibri" w:eastAsia="Calibri" w:hAnsi="Calibri" w:cs="Times New Roman"/>
    </w:rPr>
  </w:style>
  <w:style w:type="table" w:styleId="Tablaconcuadrcula">
    <w:name w:val="Table Grid"/>
    <w:basedOn w:val="Tablanormal"/>
    <w:uiPriority w:val="39"/>
    <w:rsid w:val="008B227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nguno">
    <w:name w:val="Ninguno"/>
    <w:rsid w:val="008B2274"/>
    <w:rPr>
      <w:lang w:val="de-DE"/>
    </w:rPr>
  </w:style>
  <w:style w:type="paragraph" w:customStyle="1" w:styleId="PoromisinA">
    <w:name w:val="Por omisión A"/>
    <w:rsid w:val="008B2274"/>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880</Words>
  <Characters>4845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Salinas</dc:creator>
  <cp:keywords/>
  <dc:description/>
  <cp:lastModifiedBy>Marina Salinas</cp:lastModifiedBy>
  <cp:revision>1</cp:revision>
  <dcterms:created xsi:type="dcterms:W3CDTF">2019-07-25T19:57:00Z</dcterms:created>
  <dcterms:modified xsi:type="dcterms:W3CDTF">2019-07-25T19:58:00Z</dcterms:modified>
</cp:coreProperties>
</file>